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F8515" w14:textId="45FBD970" w:rsidR="001A59E7" w:rsidRPr="00080C15" w:rsidRDefault="0034096C" w:rsidP="00993D09">
      <w:pPr>
        <w:pStyle w:val="NoSpacing"/>
        <w:rPr>
          <w:rFonts w:ascii="Arial" w:hAnsi="Arial" w:cs="Arial"/>
          <w:b/>
          <w:bCs/>
        </w:rPr>
      </w:pPr>
      <w:r w:rsidRPr="00080C15">
        <w:rPr>
          <w:rFonts w:ascii="Arial" w:hAnsi="Arial" w:cs="Arial"/>
          <w:b/>
          <w:bCs/>
        </w:rPr>
        <w:t xml:space="preserve">Return on </w:t>
      </w:r>
      <w:r w:rsidR="00080C15" w:rsidRPr="00080C15">
        <w:rPr>
          <w:rFonts w:ascii="Arial" w:hAnsi="Arial" w:cs="Arial"/>
          <w:b/>
          <w:bCs/>
        </w:rPr>
        <w:t>Equity</w:t>
      </w:r>
      <w:r w:rsidR="00080C15">
        <w:rPr>
          <w:rFonts w:ascii="Arial" w:hAnsi="Arial" w:cs="Arial"/>
          <w:b/>
          <w:bCs/>
        </w:rPr>
        <w:t xml:space="preserve"> </w:t>
      </w:r>
      <w:r w:rsidRPr="00080C15">
        <w:rPr>
          <w:rFonts w:ascii="Arial" w:hAnsi="Arial" w:cs="Arial"/>
          <w:b/>
          <w:bCs/>
        </w:rPr>
        <w:t>(RO</w:t>
      </w:r>
      <w:r w:rsidR="00080C15" w:rsidRPr="00080C15">
        <w:rPr>
          <w:rFonts w:ascii="Arial" w:hAnsi="Arial" w:cs="Arial"/>
          <w:b/>
          <w:bCs/>
        </w:rPr>
        <w:t>E</w:t>
      </w:r>
      <w:r w:rsidRPr="00080C15">
        <w:rPr>
          <w:rFonts w:ascii="Arial" w:hAnsi="Arial" w:cs="Arial"/>
          <w:b/>
          <w:bCs/>
        </w:rPr>
        <w:t>): The Dupont Formula</w:t>
      </w:r>
    </w:p>
    <w:p w14:paraId="0CA95F62" w14:textId="77777777" w:rsidR="00D92575" w:rsidRPr="00993D09" w:rsidRDefault="00D92575" w:rsidP="00993D09"/>
    <w:p w14:paraId="3D598BB7" w14:textId="5FA0A17D" w:rsidR="00D92575" w:rsidRPr="00993D09" w:rsidRDefault="00D92575" w:rsidP="00993D09">
      <w:pPr>
        <w:pStyle w:val="NoSpacing"/>
        <w:rPr>
          <w:rFonts w:ascii="Arial" w:hAnsi="Arial" w:cs="Arial"/>
        </w:rPr>
      </w:pPr>
      <w:r w:rsidRPr="00993D09">
        <w:rPr>
          <w:rFonts w:ascii="Arial" w:hAnsi="Arial" w:cs="Arial"/>
        </w:rPr>
        <w:t xml:space="preserve">The calculation of the Return on Equity (ROE) is an internal measure of the efficiency of the management of the company’s assets. </w:t>
      </w:r>
      <w:r w:rsidR="00080C15" w:rsidRPr="00993D09">
        <w:rPr>
          <w:rFonts w:ascii="Arial" w:hAnsi="Arial" w:cs="Arial"/>
        </w:rPr>
        <w:t xml:space="preserve">ROE is basically the dollar return on sales (net income/net sales) times the asset turnover ratio (net sales/total assets). </w:t>
      </w:r>
      <w:r w:rsidRPr="00993D09">
        <w:rPr>
          <w:rFonts w:ascii="Arial" w:hAnsi="Arial" w:cs="Arial"/>
        </w:rPr>
        <w:t>An increasing ROE is an indicator of continuing growth in profitability and the improving efficiency of the management of company assets. This is critical because an improving ROE tends to drive improvement in stock price.</w:t>
      </w:r>
    </w:p>
    <w:p w14:paraId="6FBB0492" w14:textId="77777777" w:rsidR="00D92575" w:rsidRPr="00993D09" w:rsidRDefault="00D92575" w:rsidP="00993D09">
      <w:pPr>
        <w:pStyle w:val="NoSpacing"/>
        <w:rPr>
          <w:rFonts w:ascii="Arial" w:hAnsi="Arial" w:cs="Arial"/>
        </w:rPr>
      </w:pPr>
    </w:p>
    <w:p w14:paraId="26DB1031" w14:textId="055CF343" w:rsidR="002222EB" w:rsidRPr="00993D09" w:rsidRDefault="00D92575" w:rsidP="00993D09">
      <w:pPr>
        <w:pStyle w:val="NoSpacing"/>
        <w:rPr>
          <w:rFonts w:ascii="Arial" w:hAnsi="Arial" w:cs="Arial"/>
        </w:rPr>
      </w:pPr>
      <w:r w:rsidRPr="00993D09">
        <w:rPr>
          <w:rFonts w:ascii="Arial" w:hAnsi="Arial" w:cs="Arial"/>
        </w:rPr>
        <w:t xml:space="preserve">The Dupont formula helps decompose the different drivers of return on equity (ROE). </w:t>
      </w:r>
      <w:r w:rsidR="00080C15">
        <w:rPr>
          <w:rFonts w:ascii="Arial" w:hAnsi="Arial" w:cs="Arial"/>
        </w:rPr>
        <w:t>It</w:t>
      </w:r>
      <w:r w:rsidRPr="00993D09">
        <w:rPr>
          <w:rFonts w:ascii="Arial" w:hAnsi="Arial" w:cs="Arial"/>
        </w:rPr>
        <w:t xml:space="preserve"> allows management to go deeper in their analysis of ROI by highlighting both profit and loss performance (which tends to be the focal point of management) and balance sheet management (which tends to be neglected). It helps investors to focus on the key metrics of financial performance individually.  </w:t>
      </w:r>
    </w:p>
    <w:p w14:paraId="5A255225" w14:textId="77777777" w:rsidR="00D92575" w:rsidRPr="00993D09" w:rsidRDefault="00D92575" w:rsidP="00993D09">
      <w:pPr>
        <w:pStyle w:val="NoSpacing"/>
        <w:rPr>
          <w:rFonts w:ascii="Arial" w:hAnsi="Arial" w:cs="Arial"/>
        </w:rPr>
      </w:pPr>
    </w:p>
    <w:p w14:paraId="05BB944E" w14:textId="1546DCA1" w:rsidR="002222EB" w:rsidRPr="00993D09" w:rsidRDefault="002222EB" w:rsidP="00993D09">
      <w:pPr>
        <w:pStyle w:val="NoSpacing"/>
        <w:rPr>
          <w:rFonts w:ascii="Arial" w:hAnsi="Arial" w:cs="Arial"/>
        </w:rPr>
      </w:pPr>
      <w:r w:rsidRPr="00993D09">
        <w:rPr>
          <w:rFonts w:ascii="Arial" w:hAnsi="Arial" w:cs="Arial"/>
        </w:rPr>
        <w:t>The Dupont Formula analysis of ROI is most valuable when performing comparative analysis of a company’s performance from one period to the next.</w:t>
      </w:r>
    </w:p>
    <w:p w14:paraId="5A8AC415" w14:textId="3B29BBAD" w:rsidR="00D92575" w:rsidRPr="00993D09" w:rsidRDefault="00D92575" w:rsidP="00993D09">
      <w:pPr>
        <w:pStyle w:val="NoSpacing"/>
        <w:rPr>
          <w:rFonts w:ascii="Arial" w:hAnsi="Arial" w:cs="Arial"/>
        </w:rPr>
      </w:pPr>
    </w:p>
    <w:p w14:paraId="4F913CD1" w14:textId="71EB6CC3" w:rsidR="00D92575" w:rsidRPr="00993D09" w:rsidRDefault="00993D09" w:rsidP="00993D09">
      <w:pPr>
        <w:pStyle w:val="NoSpacing"/>
        <w:rPr>
          <w:rFonts w:ascii="Arial" w:hAnsi="Arial" w:cs="Arial"/>
        </w:rPr>
      </w:pPr>
      <w:r w:rsidRPr="00993D09">
        <w:rPr>
          <w:rFonts w:ascii="Arial" w:hAnsi="Arial" w:cs="Arial"/>
          <w:noProof/>
        </w:rPr>
        <mc:AlternateContent>
          <mc:Choice Requires="wps">
            <w:drawing>
              <wp:anchor distT="45720" distB="45720" distL="114300" distR="114300" simplePos="0" relativeHeight="251659264" behindDoc="0" locked="0" layoutInCell="1" allowOverlap="1" wp14:anchorId="6FB02276" wp14:editId="5EFE4E0D">
                <wp:simplePos x="0" y="0"/>
                <wp:positionH relativeFrom="column">
                  <wp:posOffset>361950</wp:posOffset>
                </wp:positionH>
                <wp:positionV relativeFrom="paragraph">
                  <wp:posOffset>30480</wp:posOffset>
                </wp:positionV>
                <wp:extent cx="3629025" cy="314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314325"/>
                        </a:xfrm>
                        <a:prstGeom prst="rect">
                          <a:avLst/>
                        </a:prstGeom>
                        <a:solidFill>
                          <a:srgbClr val="FFFFD1"/>
                        </a:solidFill>
                        <a:ln w="9525">
                          <a:solidFill>
                            <a:srgbClr val="000000"/>
                          </a:solidFill>
                          <a:miter lim="800000"/>
                          <a:headEnd/>
                          <a:tailEnd/>
                        </a:ln>
                      </wps:spPr>
                      <wps:txbx>
                        <w:txbxContent>
                          <w:p w14:paraId="1A154E20" w14:textId="4721097C" w:rsidR="00993D09" w:rsidRPr="00993D09" w:rsidRDefault="00993D09">
                            <w:pPr>
                              <w:rPr>
                                <w:rFonts w:ascii="Arial" w:hAnsi="Arial" w:cs="Arial"/>
                                <w:b/>
                                <w:bCs/>
                                <w:color w:val="0000CC"/>
                                <w:sz w:val="24"/>
                                <w:szCs w:val="24"/>
                              </w:rPr>
                            </w:pPr>
                            <w:r w:rsidRPr="00993D09">
                              <w:rPr>
                                <w:rFonts w:ascii="Arial" w:hAnsi="Arial" w:cs="Arial"/>
                                <w:b/>
                                <w:bCs/>
                                <w:color w:val="0000CC"/>
                                <w:sz w:val="24"/>
                                <w:szCs w:val="24"/>
                              </w:rPr>
                              <w:t>DuPont Analysis = Net Profit Margin × AT × 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B02276" id="_x0000_t202" coordsize="21600,21600" o:spt="202" path="m,l,21600r21600,l21600,xe">
                <v:stroke joinstyle="miter"/>
                <v:path gradientshapeok="t" o:connecttype="rect"/>
              </v:shapetype>
              <v:shape id="Text Box 2" o:spid="_x0000_s1026" type="#_x0000_t202" style="position:absolute;margin-left:28.5pt;margin-top:2.4pt;width:285.7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" fillcolor="#ffffd1">
                <v:textbox>
                  <w:txbxContent>
                    <w:p w14:paraId="1A154E20" w14:textId="4721097C" w:rsidR="00993D09" w:rsidRPr="00993D09" w:rsidRDefault="00993D09">
                      <w:pPr>
                        <w:rPr>
                          <w:rFonts w:ascii="Arial" w:hAnsi="Arial" w:cs="Arial"/>
                          <w:b/>
                          <w:bCs/>
                          <w:color w:val="0000CC"/>
                          <w:sz w:val="24"/>
                          <w:szCs w:val="24"/>
                        </w:rPr>
                      </w:pPr>
                      <w:r w:rsidRPr="00993D09">
                        <w:rPr>
                          <w:rFonts w:ascii="Arial" w:hAnsi="Arial" w:cs="Arial"/>
                          <w:b/>
                          <w:bCs/>
                          <w:color w:val="0000CC"/>
                          <w:sz w:val="24"/>
                          <w:szCs w:val="24"/>
                        </w:rPr>
                        <w:t>DuPont Analysis = Net Profit Margin × AT × EM</w:t>
                      </w:r>
                    </w:p>
                  </w:txbxContent>
                </v:textbox>
                <w10:wrap type="square"/>
              </v:shape>
            </w:pict>
          </mc:Fallback>
        </mc:AlternateContent>
      </w:r>
    </w:p>
    <w:p w14:paraId="3808AE78" w14:textId="3EB556ED" w:rsidR="00993D09" w:rsidRDefault="00993D09" w:rsidP="00993D09">
      <w:pPr>
        <w:pStyle w:val="NoSpacing"/>
        <w:rPr>
          <w:rStyle w:val="mord"/>
          <w:rFonts w:ascii="Arial" w:hAnsi="Arial" w:cs="Arial"/>
          <w:color w:val="111111"/>
          <w:shd w:val="clear" w:color="auto" w:fill="FFFFFF"/>
        </w:rPr>
      </w:pPr>
      <w:bookmarkStart w:id="0" w:name="_Hlk85111801"/>
    </w:p>
    <w:p w14:paraId="43B6A1AB" w14:textId="279E2E1A" w:rsidR="00993D09" w:rsidRDefault="00993D09" w:rsidP="00993D09">
      <w:pPr>
        <w:pStyle w:val="NoSpacing"/>
        <w:rPr>
          <w:rStyle w:val="mord"/>
          <w:rFonts w:ascii="Arial" w:hAnsi="Arial" w:cs="Arial"/>
          <w:color w:val="111111"/>
          <w:shd w:val="clear" w:color="auto" w:fill="FFFFFF"/>
        </w:rPr>
      </w:pPr>
    </w:p>
    <w:bookmarkEnd w:id="0"/>
    <w:p w14:paraId="2767BBCE" w14:textId="65958612" w:rsidR="00D92575" w:rsidRPr="00993D09" w:rsidRDefault="00D92575" w:rsidP="00993D09">
      <w:pPr>
        <w:pStyle w:val="NoSpacing"/>
        <w:rPr>
          <w:rStyle w:val="mord"/>
          <w:rFonts w:ascii="Arial" w:hAnsi="Arial" w:cs="Arial"/>
          <w:b/>
          <w:bCs/>
          <w:color w:val="111111"/>
          <w:shd w:val="clear" w:color="auto" w:fill="FFFFFF"/>
        </w:rPr>
      </w:pPr>
      <w:r w:rsidRPr="00993D09">
        <w:rPr>
          <w:rStyle w:val="mord"/>
          <w:rFonts w:ascii="Arial" w:hAnsi="Arial" w:cs="Arial"/>
          <w:b/>
          <w:bCs/>
          <w:color w:val="111111"/>
          <w:shd w:val="clear" w:color="auto" w:fill="FFFFFF"/>
        </w:rPr>
        <w:t>where:</w:t>
      </w:r>
    </w:p>
    <w:p w14:paraId="5AB2D6DD" w14:textId="1248AB12" w:rsidR="00D92575" w:rsidRPr="00993D09" w:rsidRDefault="00D92575" w:rsidP="00993D09">
      <w:pPr>
        <w:pStyle w:val="NoSpacing"/>
        <w:rPr>
          <w:rStyle w:val="vlist-s"/>
          <w:rFonts w:ascii="Arial" w:hAnsi="Arial" w:cs="Arial"/>
          <w:color w:val="111111"/>
          <w:shd w:val="clear" w:color="auto" w:fill="FFFFFF"/>
        </w:rPr>
      </w:pPr>
      <w:r w:rsidRPr="00080C15">
        <w:rPr>
          <w:rStyle w:val="mord"/>
          <w:rFonts w:ascii="Arial" w:hAnsi="Arial" w:cs="Arial"/>
          <w:b/>
          <w:bCs/>
          <w:color w:val="111111"/>
          <w:shd w:val="clear" w:color="auto" w:fill="FFFFFF"/>
        </w:rPr>
        <w:t xml:space="preserve">Net Profit Margin </w:t>
      </w:r>
      <w:r w:rsidRPr="00993D09">
        <w:rPr>
          <w:rStyle w:val="mrel"/>
          <w:rFonts w:ascii="Arial" w:hAnsi="Arial" w:cs="Arial"/>
          <w:color w:val="111111"/>
          <w:shd w:val="clear" w:color="auto" w:fill="FFFFFF"/>
        </w:rPr>
        <w:t xml:space="preserve">= </w:t>
      </w:r>
      <w:r w:rsidRPr="00993D09">
        <w:rPr>
          <w:rStyle w:val="mord"/>
          <w:rFonts w:ascii="Arial" w:hAnsi="Arial" w:cs="Arial"/>
          <w:color w:val="111111"/>
          <w:shd w:val="clear" w:color="auto" w:fill="FFFFFF"/>
        </w:rPr>
        <w:t>Net Income / Revenue</w:t>
      </w:r>
      <w:r w:rsidRPr="00993D09">
        <w:rPr>
          <w:rStyle w:val="vlist-s"/>
          <w:rFonts w:ascii="Arial" w:hAnsi="Arial" w:cs="Arial"/>
          <w:color w:val="111111"/>
          <w:shd w:val="clear" w:color="auto" w:fill="FFFFFF"/>
        </w:rPr>
        <w:t>​</w:t>
      </w:r>
    </w:p>
    <w:p w14:paraId="6F4D4BF9" w14:textId="4AEECAC4" w:rsidR="00D92575" w:rsidRPr="00993D09" w:rsidRDefault="00D92575" w:rsidP="00993D09">
      <w:pPr>
        <w:pStyle w:val="NoSpacing"/>
        <w:rPr>
          <w:rStyle w:val="mord"/>
          <w:rFonts w:ascii="Arial" w:hAnsi="Arial" w:cs="Arial"/>
          <w:color w:val="111111"/>
          <w:shd w:val="clear" w:color="auto" w:fill="FFFFFF"/>
        </w:rPr>
      </w:pPr>
      <w:r w:rsidRPr="00080C15">
        <w:rPr>
          <w:rStyle w:val="mord"/>
          <w:rFonts w:ascii="Arial" w:hAnsi="Arial" w:cs="Arial"/>
          <w:b/>
          <w:bCs/>
          <w:color w:val="111111"/>
          <w:shd w:val="clear" w:color="auto" w:fill="FFFFFF"/>
        </w:rPr>
        <w:t>AT</w:t>
      </w:r>
      <w:r w:rsidRPr="00993D09">
        <w:rPr>
          <w:rStyle w:val="mord"/>
          <w:rFonts w:ascii="Arial" w:hAnsi="Arial" w:cs="Arial"/>
          <w:color w:val="111111"/>
          <w:shd w:val="clear" w:color="auto" w:fill="FFFFFF"/>
        </w:rPr>
        <w:t xml:space="preserve"> </w:t>
      </w:r>
      <w:r w:rsidRPr="00993D09">
        <w:rPr>
          <w:rStyle w:val="mrel"/>
          <w:rFonts w:ascii="Arial" w:hAnsi="Arial" w:cs="Arial"/>
          <w:color w:val="111111"/>
          <w:shd w:val="clear" w:color="auto" w:fill="FFFFFF"/>
        </w:rPr>
        <w:t xml:space="preserve">= </w:t>
      </w:r>
      <w:r w:rsidRPr="00993D09">
        <w:rPr>
          <w:rStyle w:val="mord"/>
          <w:rFonts w:ascii="Arial" w:hAnsi="Arial" w:cs="Arial"/>
          <w:color w:val="111111"/>
          <w:shd w:val="clear" w:color="auto" w:fill="FFFFFF"/>
        </w:rPr>
        <w:t>Asset turnover</w:t>
      </w:r>
    </w:p>
    <w:p w14:paraId="3DBCE25A" w14:textId="77777777" w:rsidR="00D92575" w:rsidRPr="00993D09" w:rsidRDefault="00D92575" w:rsidP="00993D09">
      <w:pPr>
        <w:pStyle w:val="NoSpacing"/>
        <w:rPr>
          <w:rStyle w:val="vlist-s"/>
          <w:rFonts w:ascii="Arial" w:hAnsi="Arial" w:cs="Arial"/>
          <w:color w:val="111111"/>
          <w:shd w:val="clear" w:color="auto" w:fill="FFFFFF"/>
        </w:rPr>
      </w:pPr>
      <w:r w:rsidRPr="00993D09">
        <w:rPr>
          <w:rStyle w:val="mord"/>
          <w:rFonts w:ascii="Arial" w:hAnsi="Arial" w:cs="Arial"/>
          <w:color w:val="111111"/>
          <w:shd w:val="clear" w:color="auto" w:fill="FFFFFF"/>
        </w:rPr>
        <w:t xml:space="preserve">Asset Turnover </w:t>
      </w:r>
      <w:r w:rsidRPr="00993D09">
        <w:rPr>
          <w:rStyle w:val="mrel"/>
          <w:rFonts w:ascii="Arial" w:hAnsi="Arial" w:cs="Arial"/>
          <w:color w:val="111111"/>
          <w:shd w:val="clear" w:color="auto" w:fill="FFFFFF"/>
        </w:rPr>
        <w:t xml:space="preserve">= </w:t>
      </w:r>
      <w:r w:rsidRPr="00993D09">
        <w:rPr>
          <w:rStyle w:val="mord"/>
          <w:rFonts w:ascii="Arial" w:hAnsi="Arial" w:cs="Arial"/>
          <w:color w:val="111111"/>
          <w:shd w:val="clear" w:color="auto" w:fill="FFFFFF"/>
        </w:rPr>
        <w:t>Sales / Average Total Assets</w:t>
      </w:r>
      <w:r w:rsidRPr="00993D09">
        <w:rPr>
          <w:rStyle w:val="vlist-s"/>
          <w:rFonts w:ascii="Arial" w:hAnsi="Arial" w:cs="Arial"/>
          <w:color w:val="111111"/>
          <w:shd w:val="clear" w:color="auto" w:fill="FFFFFF"/>
        </w:rPr>
        <w:t>​</w:t>
      </w:r>
    </w:p>
    <w:p w14:paraId="210E696E" w14:textId="3DEF73FC" w:rsidR="00D92575" w:rsidRPr="00993D09" w:rsidRDefault="00D92575" w:rsidP="00993D09">
      <w:pPr>
        <w:pStyle w:val="NoSpacing"/>
        <w:rPr>
          <w:rStyle w:val="mord"/>
          <w:rFonts w:ascii="Arial" w:hAnsi="Arial" w:cs="Arial"/>
          <w:color w:val="111111"/>
          <w:shd w:val="clear" w:color="auto" w:fill="FFFFFF"/>
        </w:rPr>
      </w:pPr>
      <w:r w:rsidRPr="00080C15">
        <w:rPr>
          <w:rStyle w:val="mord"/>
          <w:rFonts w:ascii="Arial" w:hAnsi="Arial" w:cs="Arial"/>
          <w:b/>
          <w:bCs/>
          <w:color w:val="111111"/>
          <w:shd w:val="clear" w:color="auto" w:fill="FFFFFF"/>
        </w:rPr>
        <w:t>EM</w:t>
      </w:r>
      <w:r w:rsidRPr="00993D09">
        <w:rPr>
          <w:rStyle w:val="mrel"/>
          <w:rFonts w:ascii="Arial" w:hAnsi="Arial" w:cs="Arial"/>
          <w:color w:val="111111"/>
          <w:shd w:val="clear" w:color="auto" w:fill="FFFFFF"/>
        </w:rPr>
        <w:t>=</w:t>
      </w:r>
      <w:r w:rsidRPr="00993D09">
        <w:rPr>
          <w:rStyle w:val="mord"/>
          <w:rFonts w:ascii="Arial" w:hAnsi="Arial" w:cs="Arial"/>
          <w:color w:val="111111"/>
          <w:shd w:val="clear" w:color="auto" w:fill="FFFFFF"/>
        </w:rPr>
        <w:t>Equity multiplier</w:t>
      </w:r>
    </w:p>
    <w:p w14:paraId="01C8EAE7" w14:textId="60276071" w:rsidR="00D92575" w:rsidRPr="00993D09" w:rsidRDefault="00D92575" w:rsidP="00993D09">
      <w:pPr>
        <w:pStyle w:val="NoSpacing"/>
        <w:rPr>
          <w:rStyle w:val="mord"/>
          <w:rFonts w:ascii="Arial" w:hAnsi="Arial" w:cs="Arial"/>
          <w:color w:val="111111"/>
          <w:shd w:val="clear" w:color="auto" w:fill="FFFFFF"/>
        </w:rPr>
      </w:pPr>
      <w:r w:rsidRPr="00993D09">
        <w:rPr>
          <w:rStyle w:val="mord"/>
          <w:rFonts w:ascii="Arial" w:hAnsi="Arial" w:cs="Arial"/>
          <w:color w:val="111111"/>
          <w:shd w:val="clear" w:color="auto" w:fill="FFFFFF"/>
        </w:rPr>
        <w:t xml:space="preserve">Equity Multiplier </w:t>
      </w:r>
      <w:r w:rsidRPr="00993D09">
        <w:rPr>
          <w:rStyle w:val="mrel"/>
          <w:rFonts w:ascii="Arial" w:hAnsi="Arial" w:cs="Arial"/>
          <w:color w:val="111111"/>
          <w:shd w:val="clear" w:color="auto" w:fill="FFFFFF"/>
        </w:rPr>
        <w:t xml:space="preserve">= </w:t>
      </w:r>
      <w:r w:rsidRPr="00993D09">
        <w:rPr>
          <w:rStyle w:val="mord"/>
          <w:rFonts w:ascii="Arial" w:hAnsi="Arial" w:cs="Arial"/>
          <w:color w:val="111111"/>
          <w:shd w:val="clear" w:color="auto" w:fill="FFFFFF"/>
        </w:rPr>
        <w:t>Average Total Assets</w:t>
      </w:r>
      <w:r w:rsidR="00080C15">
        <w:rPr>
          <w:rStyle w:val="mord"/>
          <w:rFonts w:ascii="Arial" w:hAnsi="Arial" w:cs="Arial"/>
          <w:color w:val="111111"/>
          <w:shd w:val="clear" w:color="auto" w:fill="FFFFFF"/>
        </w:rPr>
        <w:t xml:space="preserve"> </w:t>
      </w:r>
      <w:r w:rsidRPr="00993D09">
        <w:rPr>
          <w:rStyle w:val="vlist-s"/>
          <w:rFonts w:ascii="Arial" w:hAnsi="Arial" w:cs="Arial"/>
          <w:color w:val="111111"/>
          <w:shd w:val="clear" w:color="auto" w:fill="FFFFFF"/>
        </w:rPr>
        <w:t>​​</w:t>
      </w:r>
      <w:r w:rsidR="00C542E8" w:rsidRPr="00993D09">
        <w:rPr>
          <w:rStyle w:val="vlist-s"/>
          <w:rFonts w:ascii="Arial" w:hAnsi="Arial" w:cs="Arial"/>
          <w:color w:val="111111"/>
          <w:shd w:val="clear" w:color="auto" w:fill="FFFFFF"/>
        </w:rPr>
        <w:t>/</w:t>
      </w:r>
      <w:r w:rsidR="00C542E8">
        <w:rPr>
          <w:rStyle w:val="vlist-s"/>
          <w:rFonts w:ascii="Arial" w:hAnsi="Arial" w:cs="Arial"/>
          <w:color w:val="111111"/>
          <w:shd w:val="clear" w:color="auto" w:fill="FFFFFF"/>
        </w:rPr>
        <w:t xml:space="preserve"> </w:t>
      </w:r>
      <w:r w:rsidR="00C542E8" w:rsidRPr="00993D09">
        <w:rPr>
          <w:rStyle w:val="vlist-s"/>
          <w:rFonts w:ascii="Arial" w:hAnsi="Arial" w:cs="Arial"/>
          <w:color w:val="111111"/>
          <w:shd w:val="clear" w:color="auto" w:fill="FFFFFF"/>
        </w:rPr>
        <w:t>Average</w:t>
      </w:r>
      <w:r w:rsidR="00993D09" w:rsidRPr="00993D09">
        <w:rPr>
          <w:rStyle w:val="mord"/>
          <w:rFonts w:ascii="Arial" w:hAnsi="Arial" w:cs="Arial"/>
          <w:color w:val="111111"/>
          <w:shd w:val="clear" w:color="auto" w:fill="FFFFFF"/>
        </w:rPr>
        <w:t> Shareholders’ Equity</w:t>
      </w:r>
    </w:p>
    <w:p w14:paraId="7F049987" w14:textId="3EC9FCF7" w:rsidR="00993D09" w:rsidRDefault="00993D09" w:rsidP="00993D09">
      <w:pPr>
        <w:pStyle w:val="NoSpacing"/>
        <w:rPr>
          <w:rStyle w:val="mord"/>
          <w:rFonts w:ascii="Arial" w:hAnsi="Arial" w:cs="Arial"/>
          <w:color w:val="111111"/>
          <w:shd w:val="clear" w:color="auto" w:fill="FFFFFF"/>
        </w:rPr>
      </w:pPr>
    </w:p>
    <w:p w14:paraId="65FA6A18" w14:textId="67A1B6D5" w:rsidR="00993D09" w:rsidRDefault="00993D09" w:rsidP="00993D09">
      <w:pPr>
        <w:pStyle w:val="NoSpacing"/>
        <w:rPr>
          <w:rFonts w:ascii="Arial" w:hAnsi="Arial" w:cs="Arial"/>
        </w:rPr>
      </w:pPr>
    </w:p>
    <w:p w14:paraId="45DC3E8B" w14:textId="77777777" w:rsidR="00442E85" w:rsidRDefault="00442E85" w:rsidP="00C542E8">
      <w:pPr>
        <w:pStyle w:val="NoSpacing"/>
        <w:rPr>
          <w:rFonts w:ascii="Arial" w:hAnsi="Arial" w:cs="Arial"/>
        </w:rPr>
      </w:pPr>
      <w:r>
        <w:rPr>
          <w:rFonts w:ascii="Arial" w:hAnsi="Arial" w:cs="Arial"/>
        </w:rPr>
        <w:t>Reference:</w:t>
      </w:r>
    </w:p>
    <w:p w14:paraId="590708EF" w14:textId="19EF8734" w:rsidR="00C542E8" w:rsidRDefault="00C542E8" w:rsidP="00C542E8">
      <w:pPr>
        <w:pStyle w:val="NoSpacing"/>
        <w:rPr>
          <w:rFonts w:ascii="Arial" w:hAnsi="Arial" w:cs="Arial"/>
        </w:rPr>
      </w:pPr>
      <w:r w:rsidRPr="00C542E8">
        <w:rPr>
          <w:rFonts w:ascii="Arial" w:hAnsi="Arial" w:cs="Arial"/>
        </w:rPr>
        <w:t xml:space="preserve">Parrino, </w:t>
      </w:r>
      <w:r>
        <w:rPr>
          <w:rFonts w:ascii="Arial" w:hAnsi="Arial" w:cs="Arial"/>
        </w:rPr>
        <w:t>K</w:t>
      </w:r>
      <w:r w:rsidRPr="00C542E8">
        <w:rPr>
          <w:rFonts w:ascii="Arial" w:hAnsi="Arial" w:cs="Arial"/>
        </w:rPr>
        <w:t xml:space="preserve">idwell, </w:t>
      </w:r>
      <w:r>
        <w:rPr>
          <w:rFonts w:ascii="Arial" w:hAnsi="Arial" w:cs="Arial"/>
        </w:rPr>
        <w:t>B</w:t>
      </w:r>
      <w:r w:rsidRPr="00C542E8">
        <w:rPr>
          <w:rFonts w:ascii="Arial" w:hAnsi="Arial" w:cs="Arial"/>
        </w:rPr>
        <w:t>ates</w:t>
      </w:r>
      <w:r>
        <w:rPr>
          <w:rFonts w:ascii="Arial" w:hAnsi="Arial" w:cs="Arial"/>
        </w:rPr>
        <w:t xml:space="preserve">. (2011). </w:t>
      </w:r>
      <w:r w:rsidRPr="00C542E8">
        <w:rPr>
          <w:rFonts w:ascii="Arial" w:hAnsi="Arial" w:cs="Arial"/>
        </w:rPr>
        <w:t xml:space="preserve">Fundamentals of Corporate Finance, </w:t>
      </w:r>
      <w:r w:rsidR="00442E85">
        <w:rPr>
          <w:rFonts w:ascii="Arial" w:hAnsi="Arial" w:cs="Arial"/>
        </w:rPr>
        <w:t xml:space="preserve">Chapter 4, </w:t>
      </w:r>
      <w:r>
        <w:rPr>
          <w:rFonts w:ascii="Arial" w:hAnsi="Arial" w:cs="Arial"/>
        </w:rPr>
        <w:t xml:space="preserve">Wiley Textbooks. </w:t>
      </w:r>
      <w:r>
        <w:t>I</w:t>
      </w:r>
      <w:r w:rsidRPr="00C542E8">
        <w:rPr>
          <w:rFonts w:ascii="Arial" w:hAnsi="Arial" w:cs="Arial"/>
        </w:rPr>
        <w:t>SBN</w:t>
      </w:r>
      <w:r>
        <w:rPr>
          <w:rFonts w:ascii="Arial" w:hAnsi="Arial" w:cs="Arial"/>
        </w:rPr>
        <w:t xml:space="preserve">: </w:t>
      </w:r>
      <w:r w:rsidRPr="00C542E8">
        <w:rPr>
          <w:rFonts w:ascii="Arial" w:hAnsi="Arial" w:cs="Arial"/>
        </w:rPr>
        <w:t>118213750</w:t>
      </w:r>
      <w:r>
        <w:rPr>
          <w:rFonts w:ascii="Arial" w:hAnsi="Arial" w:cs="Arial"/>
        </w:rPr>
        <w:t xml:space="preserve"> </w:t>
      </w:r>
    </w:p>
    <w:p w14:paraId="6D80498F" w14:textId="77777777" w:rsidR="00BC2CA4" w:rsidRPr="00BC2CA4" w:rsidRDefault="00BC1891" w:rsidP="00BC2CA4">
      <w:pPr>
        <w:spacing w:after="0" w:line="240" w:lineRule="auto"/>
        <w:rPr>
          <w:rFonts w:ascii="Calibri" w:eastAsia="Calibri" w:hAnsi="Calibri" w:cs="Calibri"/>
          <w:sz w:val="24"/>
          <w:szCs w:val="24"/>
          <w:lang w:bidi="te-IN"/>
        </w:rPr>
      </w:pPr>
      <w:hyperlink r:id="rId5" w:history="1">
        <w:r w:rsidR="00BC2CA4" w:rsidRPr="00BC2CA4">
          <w:rPr>
            <w:rFonts w:ascii="Calibri" w:eastAsia="Calibri" w:hAnsi="Calibri" w:cs="Calibri"/>
            <w:color w:val="0563C1"/>
            <w:sz w:val="24"/>
            <w:szCs w:val="24"/>
            <w:u w:val="single"/>
            <w:lang w:bidi="te-IN"/>
          </w:rPr>
          <w:t>https://learning.oreilly.com/home/</w:t>
        </w:r>
      </w:hyperlink>
    </w:p>
    <w:p w14:paraId="1522A518" w14:textId="77777777" w:rsidR="00BC2CA4" w:rsidRPr="00C542E8" w:rsidRDefault="00BC2CA4" w:rsidP="00C542E8">
      <w:pPr>
        <w:pStyle w:val="NoSpacing"/>
        <w:rPr>
          <w:rFonts w:ascii="Arial" w:hAnsi="Arial" w:cs="Arial"/>
        </w:rPr>
      </w:pPr>
    </w:p>
    <w:p w14:paraId="7214F3DB" w14:textId="2EA646B9" w:rsidR="00BC2CA4" w:rsidRDefault="00BC2CA4" w:rsidP="00BC2CA4">
      <w:pPr>
        <w:pStyle w:val="NoSpacing"/>
        <w:rPr>
          <w:rFonts w:ascii="Arial" w:hAnsi="Arial" w:cs="Arial"/>
          <w:b/>
          <w:bCs/>
          <w:sz w:val="20"/>
          <w:szCs w:val="20"/>
          <w:bdr w:val="none" w:sz="0" w:space="0" w:color="auto" w:frame="1"/>
        </w:rPr>
      </w:pPr>
      <w:r w:rsidRPr="00BC2CA4">
        <w:rPr>
          <w:rFonts w:ascii="Arial" w:hAnsi="Arial" w:cs="Arial"/>
          <w:b/>
          <w:bCs/>
          <w:sz w:val="20"/>
          <w:szCs w:val="20"/>
          <w:bdr w:val="none" w:sz="0" w:space="0" w:color="auto" w:frame="1"/>
        </w:rPr>
        <w:t>Accessing the Textbook</w:t>
      </w:r>
    </w:p>
    <w:p w14:paraId="3BF3FA01" w14:textId="77777777" w:rsidR="00BC2CA4" w:rsidRPr="00BC2CA4" w:rsidRDefault="00BC2CA4" w:rsidP="00BC2CA4">
      <w:pPr>
        <w:pStyle w:val="NoSpacing"/>
        <w:rPr>
          <w:rFonts w:ascii="Arial" w:hAnsi="Arial" w:cs="Arial"/>
          <w:b/>
          <w:bCs/>
          <w:sz w:val="20"/>
          <w:szCs w:val="20"/>
          <w:bdr w:val="none" w:sz="0" w:space="0" w:color="auto" w:frame="1"/>
        </w:rPr>
      </w:pPr>
    </w:p>
    <w:p w14:paraId="28DC12D8" w14:textId="77777777" w:rsidR="00BC2CA4" w:rsidRPr="00BC2CA4" w:rsidRDefault="00BC2CA4" w:rsidP="00BC2CA4">
      <w:pPr>
        <w:pStyle w:val="ListParagraph"/>
        <w:numPr>
          <w:ilvl w:val="0"/>
          <w:numId w:val="2"/>
        </w:numPr>
        <w:rPr>
          <w:rFonts w:ascii="Arial" w:hAnsi="Arial" w:cs="Arial"/>
          <w:sz w:val="20"/>
          <w:szCs w:val="20"/>
          <w:bdr w:val="none" w:sz="0" w:space="0" w:color="auto" w:frame="1"/>
        </w:rPr>
      </w:pPr>
      <w:r w:rsidRPr="00BC2CA4">
        <w:rPr>
          <w:rFonts w:ascii="Arial" w:hAnsi="Arial" w:cs="Arial"/>
          <w:sz w:val="20"/>
          <w:szCs w:val="20"/>
          <w:bdr w:val="none" w:sz="0" w:space="0" w:color="auto" w:frame="1"/>
        </w:rPr>
        <w:t>You can create an O'Reilly account by going to </w:t>
      </w:r>
      <w:hyperlink r:id="rId6" w:history="1">
        <w:r w:rsidRPr="00BC2CA4">
          <w:rPr>
            <w:rStyle w:val="Hyperlink"/>
            <w:rFonts w:ascii="Arial" w:eastAsia="Times New Roman" w:hAnsi="Arial" w:cs="Arial"/>
            <w:sz w:val="20"/>
            <w:szCs w:val="20"/>
            <w:bdr w:val="none" w:sz="0" w:space="0" w:color="auto" w:frame="1"/>
          </w:rPr>
          <w:t>https://www.oreilly.com/library/view/temporary-access/</w:t>
        </w:r>
      </w:hyperlink>
      <w:r w:rsidRPr="00BC2CA4">
        <w:rPr>
          <w:rFonts w:ascii="Arial" w:hAnsi="Arial" w:cs="Arial"/>
          <w:sz w:val="20"/>
          <w:szCs w:val="20"/>
          <w:bdr w:val="none" w:sz="0" w:space="0" w:color="auto" w:frame="1"/>
        </w:rPr>
        <w:t xml:space="preserve">  Use the drop-down menu and select the Not listed? Click here. link at the top of the list.  They should then enter their UMGC e-mail address.  (Note: Only a </w:t>
      </w:r>
      <w:r w:rsidRPr="00BC2CA4">
        <w:rPr>
          <w:rFonts w:ascii="Arial" w:hAnsi="Arial" w:cs="Arial"/>
          <w:i/>
          <w:iCs/>
          <w:sz w:val="20"/>
          <w:szCs w:val="20"/>
          <w:bdr w:val="none" w:sz="0" w:space="0" w:color="auto" w:frame="1"/>
        </w:rPr>
        <w:t xml:space="preserve">UMGC e-mail address </w:t>
      </w:r>
      <w:r w:rsidRPr="00BC2CA4">
        <w:rPr>
          <w:rFonts w:ascii="Arial" w:hAnsi="Arial" w:cs="Arial"/>
          <w:sz w:val="20"/>
          <w:szCs w:val="20"/>
          <w:bdr w:val="none" w:sz="0" w:space="0" w:color="auto" w:frame="1"/>
        </w:rPr>
        <w:t xml:space="preserve">can be used for setting up your account.)  </w:t>
      </w:r>
    </w:p>
    <w:p w14:paraId="1DCBACBB" w14:textId="77777777" w:rsidR="00BC2CA4" w:rsidRPr="00BC2CA4" w:rsidRDefault="00BC2CA4" w:rsidP="00BC2CA4">
      <w:pPr>
        <w:pStyle w:val="ListParagraph"/>
        <w:numPr>
          <w:ilvl w:val="0"/>
          <w:numId w:val="2"/>
        </w:numPr>
        <w:rPr>
          <w:rFonts w:ascii="Arial" w:hAnsi="Arial" w:cs="Arial"/>
          <w:sz w:val="20"/>
          <w:szCs w:val="20"/>
          <w:bdr w:val="none" w:sz="0" w:space="0" w:color="auto" w:frame="1"/>
        </w:rPr>
      </w:pPr>
      <w:r w:rsidRPr="00BC2CA4">
        <w:rPr>
          <w:rFonts w:ascii="Arial" w:hAnsi="Arial" w:cs="Arial"/>
          <w:sz w:val="20"/>
          <w:szCs w:val="20"/>
          <w:bdr w:val="none" w:sz="0" w:space="0" w:color="auto" w:frame="1"/>
        </w:rPr>
        <w:t xml:space="preserve">Once you've entered your UMGC e-mail address, you should be given immediate access to the O'Reilly content. You'll also get a message sent to their UMGC e-mail address asking you to set up a password that you can use with your e-mail address to log-in in the future.  </w:t>
      </w:r>
    </w:p>
    <w:p w14:paraId="29AE479E" w14:textId="77777777" w:rsidR="00BC2CA4" w:rsidRPr="00BC2CA4" w:rsidRDefault="00BC2CA4" w:rsidP="00BC2CA4">
      <w:pPr>
        <w:pStyle w:val="ListParagraph"/>
        <w:numPr>
          <w:ilvl w:val="0"/>
          <w:numId w:val="2"/>
        </w:numPr>
        <w:rPr>
          <w:rFonts w:ascii="Arial" w:hAnsi="Arial" w:cs="Arial"/>
          <w:sz w:val="20"/>
          <w:szCs w:val="20"/>
          <w:bdr w:val="none" w:sz="0" w:space="0" w:color="auto" w:frame="1"/>
        </w:rPr>
      </w:pPr>
      <w:r w:rsidRPr="00BC2CA4">
        <w:rPr>
          <w:rFonts w:ascii="Arial" w:hAnsi="Arial" w:cs="Arial"/>
          <w:sz w:val="20"/>
          <w:szCs w:val="20"/>
          <w:bdr w:val="none" w:sz="0" w:space="0" w:color="auto" w:frame="1"/>
        </w:rPr>
        <w:t>These instructions are posted at </w:t>
      </w:r>
      <w:hyperlink r:id="rId7" w:history="1">
        <w:r w:rsidRPr="00BC2CA4">
          <w:rPr>
            <w:rStyle w:val="Hyperlink"/>
            <w:rFonts w:ascii="Arial" w:eastAsia="Times New Roman" w:hAnsi="Arial" w:cs="Arial"/>
            <w:sz w:val="20"/>
            <w:szCs w:val="20"/>
            <w:bdr w:val="none" w:sz="0" w:space="0" w:color="auto" w:frame="1"/>
          </w:rPr>
          <w:t>https://libanswers.umgc.edu/faq/259998</w:t>
        </w:r>
      </w:hyperlink>
      <w:r w:rsidRPr="00BC2CA4">
        <w:rPr>
          <w:rFonts w:ascii="Arial" w:hAnsi="Arial" w:cs="Arial"/>
          <w:sz w:val="20"/>
          <w:szCs w:val="20"/>
          <w:bdr w:val="none" w:sz="0" w:space="0" w:color="auto" w:frame="1"/>
        </w:rPr>
        <w:t>, and there's a link to the instructions on the Databases by Title page (</w:t>
      </w:r>
      <w:hyperlink r:id="rId8" w:history="1">
        <w:r w:rsidRPr="00BC2CA4">
          <w:rPr>
            <w:rStyle w:val="Hyperlink"/>
            <w:rFonts w:ascii="Arial" w:eastAsia="Times New Roman" w:hAnsi="Arial" w:cs="Arial"/>
            <w:sz w:val="20"/>
            <w:szCs w:val="20"/>
            <w:bdr w:val="none" w:sz="0" w:space="0" w:color="auto" w:frame="1"/>
          </w:rPr>
          <w:t>https://libguides.umgc.edu/az.php?a=o</w:t>
        </w:r>
      </w:hyperlink>
      <w:r w:rsidRPr="00BC2CA4">
        <w:rPr>
          <w:rFonts w:ascii="Arial" w:hAnsi="Arial" w:cs="Arial"/>
          <w:sz w:val="20"/>
          <w:szCs w:val="20"/>
          <w:bdr w:val="none" w:sz="0" w:space="0" w:color="auto" w:frame="1"/>
        </w:rPr>
        <w:t>).</w:t>
      </w:r>
    </w:p>
    <w:p w14:paraId="1DFE4F65" w14:textId="77777777" w:rsidR="00BC2CA4" w:rsidRPr="00BC2CA4" w:rsidRDefault="00BC2CA4" w:rsidP="00BC2CA4">
      <w:pPr>
        <w:pStyle w:val="ListParagraph"/>
        <w:numPr>
          <w:ilvl w:val="0"/>
          <w:numId w:val="2"/>
        </w:numPr>
        <w:rPr>
          <w:rFonts w:ascii="Arial" w:hAnsi="Arial" w:cs="Arial"/>
          <w:sz w:val="20"/>
          <w:szCs w:val="20"/>
          <w:bdr w:val="none" w:sz="0" w:space="0" w:color="auto" w:frame="1"/>
        </w:rPr>
      </w:pPr>
      <w:r w:rsidRPr="00BC2CA4">
        <w:rPr>
          <w:rFonts w:ascii="Arial" w:hAnsi="Arial" w:cs="Arial"/>
          <w:sz w:val="20"/>
          <w:szCs w:val="20"/>
          <w:bdr w:val="none" w:sz="0" w:space="0" w:color="auto" w:frame="1"/>
        </w:rPr>
        <w:t>O'Reilly content can be downloaded, but this requires having the (free) O'Reilly app.  Instructions for obtaining the app can be found at </w:t>
      </w:r>
      <w:hyperlink r:id="rId9" w:history="1">
        <w:r w:rsidRPr="00BC2CA4">
          <w:rPr>
            <w:rStyle w:val="Hyperlink"/>
            <w:rFonts w:ascii="Arial" w:eastAsia="Times New Roman" w:hAnsi="Arial" w:cs="Arial"/>
            <w:sz w:val="20"/>
            <w:szCs w:val="20"/>
            <w:bdr w:val="none" w:sz="0" w:space="0" w:color="auto" w:frame="1"/>
          </w:rPr>
          <w:t>https://www.oreilly.com/online-learning/support/mobile.html#link1</w:t>
        </w:r>
      </w:hyperlink>
    </w:p>
    <w:p w14:paraId="41EFED8F" w14:textId="7DEEA012" w:rsidR="00C542E8" w:rsidRPr="00BC2CA4" w:rsidRDefault="00C542E8" w:rsidP="00BC2CA4">
      <w:pPr>
        <w:rPr>
          <w:rFonts w:ascii="Arial" w:hAnsi="Arial" w:cs="Arial"/>
          <w:sz w:val="20"/>
          <w:szCs w:val="20"/>
        </w:rPr>
      </w:pPr>
    </w:p>
    <w:sectPr w:rsidR="00C542E8" w:rsidRPr="00BC2CA4" w:rsidSect="00BC2CA4">
      <w:pgSz w:w="12240" w:h="15840"/>
      <w:pgMar w:top="720" w:right="73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2DB4"/>
    <w:multiLevelType w:val="hybridMultilevel"/>
    <w:tmpl w:val="4258A7C6"/>
    <w:lvl w:ilvl="0" w:tplc="8E467CFC">
      <w:start w:val="1"/>
      <w:numFmt w:val="bullet"/>
      <w:lvlText w:val=""/>
      <w:lvlJc w:val="left"/>
      <w:pPr>
        <w:tabs>
          <w:tab w:val="num" w:pos="720"/>
        </w:tabs>
        <w:ind w:left="720" w:hanging="360"/>
      </w:pPr>
      <w:rPr>
        <w:rFonts w:ascii="Symbol" w:hAnsi="Symbol" w:hint="default"/>
        <w:sz w:val="16"/>
      </w:rPr>
    </w:lvl>
    <w:lvl w:ilvl="1" w:tplc="9F5ABAD8" w:tentative="1">
      <w:start w:val="1"/>
      <w:numFmt w:val="bullet"/>
      <w:lvlText w:val=""/>
      <w:lvlJc w:val="left"/>
      <w:pPr>
        <w:tabs>
          <w:tab w:val="num" w:pos="1440"/>
        </w:tabs>
        <w:ind w:left="1440" w:hanging="360"/>
      </w:pPr>
      <w:rPr>
        <w:rFonts w:ascii="Wingdings" w:hAnsi="Wingdings" w:hint="default"/>
      </w:rPr>
    </w:lvl>
    <w:lvl w:ilvl="2" w:tplc="8D1E4AC6" w:tentative="1">
      <w:start w:val="1"/>
      <w:numFmt w:val="bullet"/>
      <w:lvlText w:val=""/>
      <w:lvlJc w:val="left"/>
      <w:pPr>
        <w:tabs>
          <w:tab w:val="num" w:pos="2160"/>
        </w:tabs>
        <w:ind w:left="2160" w:hanging="360"/>
      </w:pPr>
      <w:rPr>
        <w:rFonts w:ascii="Wingdings" w:hAnsi="Wingdings" w:hint="default"/>
      </w:rPr>
    </w:lvl>
    <w:lvl w:ilvl="3" w:tplc="0FB28CB8" w:tentative="1">
      <w:start w:val="1"/>
      <w:numFmt w:val="bullet"/>
      <w:lvlText w:val=""/>
      <w:lvlJc w:val="left"/>
      <w:pPr>
        <w:tabs>
          <w:tab w:val="num" w:pos="2880"/>
        </w:tabs>
        <w:ind w:left="2880" w:hanging="360"/>
      </w:pPr>
      <w:rPr>
        <w:rFonts w:ascii="Wingdings" w:hAnsi="Wingdings" w:hint="default"/>
      </w:rPr>
    </w:lvl>
    <w:lvl w:ilvl="4" w:tplc="DD7A35E4" w:tentative="1">
      <w:start w:val="1"/>
      <w:numFmt w:val="bullet"/>
      <w:lvlText w:val=""/>
      <w:lvlJc w:val="left"/>
      <w:pPr>
        <w:tabs>
          <w:tab w:val="num" w:pos="3600"/>
        </w:tabs>
        <w:ind w:left="3600" w:hanging="360"/>
      </w:pPr>
      <w:rPr>
        <w:rFonts w:ascii="Wingdings" w:hAnsi="Wingdings" w:hint="default"/>
      </w:rPr>
    </w:lvl>
    <w:lvl w:ilvl="5" w:tplc="FE081F96" w:tentative="1">
      <w:start w:val="1"/>
      <w:numFmt w:val="bullet"/>
      <w:lvlText w:val=""/>
      <w:lvlJc w:val="left"/>
      <w:pPr>
        <w:tabs>
          <w:tab w:val="num" w:pos="4320"/>
        </w:tabs>
        <w:ind w:left="4320" w:hanging="360"/>
      </w:pPr>
      <w:rPr>
        <w:rFonts w:ascii="Wingdings" w:hAnsi="Wingdings" w:hint="default"/>
      </w:rPr>
    </w:lvl>
    <w:lvl w:ilvl="6" w:tplc="0C44C9C6" w:tentative="1">
      <w:start w:val="1"/>
      <w:numFmt w:val="bullet"/>
      <w:lvlText w:val=""/>
      <w:lvlJc w:val="left"/>
      <w:pPr>
        <w:tabs>
          <w:tab w:val="num" w:pos="5040"/>
        </w:tabs>
        <w:ind w:left="5040" w:hanging="360"/>
      </w:pPr>
      <w:rPr>
        <w:rFonts w:ascii="Wingdings" w:hAnsi="Wingdings" w:hint="default"/>
      </w:rPr>
    </w:lvl>
    <w:lvl w:ilvl="7" w:tplc="47E80FDA" w:tentative="1">
      <w:start w:val="1"/>
      <w:numFmt w:val="bullet"/>
      <w:lvlText w:val=""/>
      <w:lvlJc w:val="left"/>
      <w:pPr>
        <w:tabs>
          <w:tab w:val="num" w:pos="5760"/>
        </w:tabs>
        <w:ind w:left="5760" w:hanging="360"/>
      </w:pPr>
      <w:rPr>
        <w:rFonts w:ascii="Wingdings" w:hAnsi="Wingdings" w:hint="default"/>
      </w:rPr>
    </w:lvl>
    <w:lvl w:ilvl="8" w:tplc="952C2F9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C05140"/>
    <w:multiLevelType w:val="hybridMultilevel"/>
    <w:tmpl w:val="9E56E8D0"/>
    <w:lvl w:ilvl="0" w:tplc="8E467CF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96C"/>
    <w:rsid w:val="00080C15"/>
    <w:rsid w:val="001A59E7"/>
    <w:rsid w:val="002222EB"/>
    <w:rsid w:val="0034096C"/>
    <w:rsid w:val="00442E85"/>
    <w:rsid w:val="00702AB0"/>
    <w:rsid w:val="009400DD"/>
    <w:rsid w:val="00993D09"/>
    <w:rsid w:val="00A57608"/>
    <w:rsid w:val="00BC1891"/>
    <w:rsid w:val="00BC2CA4"/>
    <w:rsid w:val="00C542E8"/>
    <w:rsid w:val="00D91BF7"/>
    <w:rsid w:val="00D92575"/>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AAA5"/>
  <w15:chartTrackingRefBased/>
  <w15:docId w15:val="{6EC8F2A9-F0F8-47AA-B393-3AF5141D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575"/>
    <w:pPr>
      <w:spacing w:after="0" w:line="240" w:lineRule="auto"/>
    </w:pPr>
  </w:style>
  <w:style w:type="character" w:styleId="Hyperlink">
    <w:name w:val="Hyperlink"/>
    <w:basedOn w:val="DefaultParagraphFont"/>
    <w:uiPriority w:val="99"/>
    <w:unhideWhenUsed/>
    <w:rsid w:val="00D92575"/>
    <w:rPr>
      <w:color w:val="0000FF"/>
      <w:u w:val="single"/>
    </w:rPr>
  </w:style>
  <w:style w:type="character" w:customStyle="1" w:styleId="mord">
    <w:name w:val="mord"/>
    <w:basedOn w:val="DefaultParagraphFont"/>
    <w:rsid w:val="00D92575"/>
  </w:style>
  <w:style w:type="character" w:customStyle="1" w:styleId="mrel">
    <w:name w:val="mrel"/>
    <w:basedOn w:val="DefaultParagraphFont"/>
    <w:rsid w:val="00D92575"/>
  </w:style>
  <w:style w:type="character" w:customStyle="1" w:styleId="mbin">
    <w:name w:val="mbin"/>
    <w:basedOn w:val="DefaultParagraphFont"/>
    <w:rsid w:val="00D92575"/>
  </w:style>
  <w:style w:type="character" w:customStyle="1" w:styleId="vlist-s">
    <w:name w:val="vlist-s"/>
    <w:basedOn w:val="DefaultParagraphFont"/>
    <w:rsid w:val="00D92575"/>
  </w:style>
  <w:style w:type="character" w:styleId="UnresolvedMention">
    <w:name w:val="Unresolved Mention"/>
    <w:basedOn w:val="DefaultParagraphFont"/>
    <w:uiPriority w:val="99"/>
    <w:semiHidden/>
    <w:unhideWhenUsed/>
    <w:rsid w:val="00C542E8"/>
    <w:rPr>
      <w:color w:val="605E5C"/>
      <w:shd w:val="clear" w:color="auto" w:fill="E1DFDD"/>
    </w:rPr>
  </w:style>
  <w:style w:type="paragraph" w:styleId="ListParagraph">
    <w:name w:val="List Paragraph"/>
    <w:basedOn w:val="Normal"/>
    <w:uiPriority w:val="34"/>
    <w:qFormat/>
    <w:rsid w:val="00BC2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2869">
      <w:bodyDiv w:val="1"/>
      <w:marLeft w:val="0"/>
      <w:marRight w:val="0"/>
      <w:marTop w:val="0"/>
      <w:marBottom w:val="0"/>
      <w:divBdr>
        <w:top w:val="none" w:sz="0" w:space="0" w:color="auto"/>
        <w:left w:val="none" w:sz="0" w:space="0" w:color="auto"/>
        <w:bottom w:val="none" w:sz="0" w:space="0" w:color="auto"/>
        <w:right w:val="none" w:sz="0" w:space="0" w:color="auto"/>
      </w:divBdr>
    </w:div>
    <w:div w:id="78211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guides.umgc.edu/az.php?a=o" TargetMode="External"/><Relationship Id="rId3" Type="http://schemas.openxmlformats.org/officeDocument/2006/relationships/settings" Target="settings.xml"/><Relationship Id="rId7" Type="http://schemas.openxmlformats.org/officeDocument/2006/relationships/hyperlink" Target="https://libanswers.umgc.edu/faq/2599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1.safelinks.protection.outlook.com/?url=https%3A%2F%2Fwww.oreilly.com%2Flibrary%2Fview%2Ftemporary-access%2F&amp;data=04%7C01%7CMichael.Evanchik%40faculty.umgc.edu%7Cebb6ec380ccd4458b95208d94bd71263%7C704ce3d6a4bf4e098516d52840c9f7a9%7C1%7C0%7C637624209359342646%7CUnknown%7CTWFpbGZsb3d8eyJWIjoiMC4wLjAwMDAiLCJQIjoiV2luMzIiLCJBTiI6Ik1haWwiLCJXVCI6Mn0%3D%7C1000&amp;sdata=HDM2q1pv%2BjhStE%2F3ptMl2FdKxmhbuSUCxT0EDp3rzUA%3D&amp;reserved=0" TargetMode="External"/><Relationship Id="rId11" Type="http://schemas.openxmlformats.org/officeDocument/2006/relationships/theme" Target="theme/theme1.xml"/><Relationship Id="rId5" Type="http://schemas.openxmlformats.org/officeDocument/2006/relationships/hyperlink" Target="https://nam11.safelinks.protection.outlook.com/?url=https%3A%2F%2Flearning.oreilly.com%2Fhome%2F&amp;data=04%7C01%7CSubash.Bijlani%40umgc.edu%7Cce4802ca24074c8df15608d98f433534%7C704ce3d6a4bf4e098516d52840c9f7a9%7C0%7C0%7C637698341078298448%7CUnknown%7CTWFpbGZsb3d8eyJWIjoiMC4wLjAwMDAiLCJQIjoiV2luMzIiLCJBTiI6Ik1haWwiLCJXVCI6Mn0%3D%7C1000&amp;sdata=C9ANT2XZLZ5pTe1tJUyIabXsHSUqdIcPayQiH36UW0Y%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m11.safelinks.protection.outlook.com/?url=https%3A%2F%2Fwww.oreilly.com%2Fonline-learning%2Fsupport%2Fmobile.html%23link1&amp;data=04%7C01%7CMichael.Evanchik%40faculty.umgc.edu%7Cebb6ec380ccd4458b95208d94bd71263%7C704ce3d6a4bf4e098516d52840c9f7a9%7C1%7C0%7C637624209359342646%7CUnknown%7CTWFpbGZsb3d8eyJWIjoiMC4wLjAwMDAiLCJQIjoiV2luMzIiLCJBTiI6Ik1haWwiLCJXVCI6Mn0%3D%7C1000&amp;sdata=Cg1lVQSNOeV6CN5ojykqtpYSr1QB2rFcvJ%2BmVUPuYG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Petty</dc:creator>
  <cp:keywords/>
  <dc:description/>
  <cp:lastModifiedBy>Charles ADEGBESAN</cp:lastModifiedBy>
  <cp:revision>2</cp:revision>
  <dcterms:created xsi:type="dcterms:W3CDTF">2021-11-11T21:54:00Z</dcterms:created>
  <dcterms:modified xsi:type="dcterms:W3CDTF">2021-11-11T21:54:00Z</dcterms:modified>
</cp:coreProperties>
</file>